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72A4" w:rsidRPr="007472A4" w:rsidRDefault="007472A4" w:rsidP="007472A4">
      <w:pPr>
        <w:adjustRightInd w:val="0"/>
        <w:snapToGrid w:val="0"/>
        <w:spacing w:line="588" w:lineRule="exact"/>
        <w:rPr>
          <w:rFonts w:ascii="黑体" w:eastAsia="黑体" w:hint="eastAsia"/>
          <w:sz w:val="32"/>
        </w:rPr>
      </w:pPr>
      <w:r>
        <w:rPr>
          <w:rFonts w:ascii="宋体" w:eastAsia="宋体" w:hAnsi="宋体" w:cs="宋体" w:hint="eastAsia"/>
          <w:kern w:val="0"/>
          <w:sz w:val="30"/>
          <w:szCs w:val="30"/>
        </w:rPr>
        <w:t xml:space="preserve"> </w:t>
      </w:r>
      <w:r>
        <w:rPr>
          <w:rFonts w:ascii="黑体" w:eastAsia="黑体" w:hint="eastAsia"/>
          <w:sz w:val="32"/>
        </w:rPr>
        <w:t xml:space="preserve">     </w:t>
      </w:r>
      <w:r>
        <w:rPr>
          <w:rFonts w:ascii="小标宋" w:eastAsia="小标宋" w:hAnsi="宋体" w:cs="宋体" w:hint="eastAsia"/>
          <w:sz w:val="44"/>
          <w:szCs w:val="44"/>
        </w:rPr>
        <w:t>暨南大学研究生中期考核管理办法</w:t>
      </w:r>
    </w:p>
    <w:p w:rsidR="007472A4" w:rsidRDefault="007472A4" w:rsidP="007472A4">
      <w:pPr>
        <w:adjustRightInd w:val="0"/>
        <w:snapToGrid w:val="0"/>
        <w:spacing w:line="580" w:lineRule="exact"/>
        <w:jc w:val="center"/>
        <w:rPr>
          <w:rFonts w:ascii="宋体" w:hAnsi="宋体" w:cs="宋体" w:hint="eastAsia"/>
          <w:b/>
          <w:sz w:val="36"/>
          <w:szCs w:val="36"/>
        </w:rPr>
      </w:pPr>
      <w:r>
        <w:rPr>
          <w:rFonts w:ascii="仿宋_gb2312" w:eastAsia="仿宋_gb2312" w:hint="eastAsia"/>
          <w:sz w:val="32"/>
        </w:rPr>
        <w:t>暨研〔2019〕35号</w:t>
      </w:r>
    </w:p>
    <w:p w:rsidR="007472A4" w:rsidRDefault="007472A4">
      <w:pPr>
        <w:pStyle w:val="a7"/>
        <w:widowControl/>
        <w:spacing w:before="0" w:beforeAutospacing="0" w:after="0" w:afterAutospacing="0" w:line="590" w:lineRule="exact"/>
        <w:ind w:firstLineChars="200" w:firstLine="640"/>
        <w:jc w:val="both"/>
        <w:rPr>
          <w:rFonts w:ascii="仿宋_gb2312" w:eastAsia="仿宋_gb2312" w:hAnsi="宋体" w:cs="宋体" w:hint="eastAsia"/>
          <w:kern w:val="2"/>
          <w:sz w:val="32"/>
          <w:szCs w:val="32"/>
        </w:rPr>
      </w:pPr>
      <w:r>
        <w:rPr>
          <w:rFonts w:ascii="仿宋_gb2312" w:eastAsia="仿宋_gb2312" w:hAnsi="宋体" w:cs="宋体" w:hint="eastAsia"/>
          <w:kern w:val="2"/>
          <w:sz w:val="32"/>
          <w:szCs w:val="32"/>
        </w:rPr>
        <w:t>为加强研究生培养过程质量监控与管理，建立健全研究生培养过程考核与分流淘汰机制，</w:t>
      </w:r>
      <w:r>
        <w:rPr>
          <w:rFonts w:ascii="仿宋_gb2312" w:eastAsia="仿宋_gb2312" w:hAnsi="宋体" w:cs="宋体" w:hint="eastAsia"/>
          <w:sz w:val="32"/>
          <w:szCs w:val="32"/>
        </w:rPr>
        <w:t>根据国家教育部和国务院学位办有关文件精神，在</w:t>
      </w:r>
      <w:r>
        <w:rPr>
          <w:rFonts w:ascii="仿宋_gb2312" w:eastAsia="仿宋_gb2312" w:hAnsi="宋体" w:cs="Arial" w:hint="eastAsia"/>
          <w:sz w:val="32"/>
          <w:szCs w:val="32"/>
        </w:rPr>
        <w:t>《暨南大学研究生中期考核试行办法》（暨研</w:t>
      </w:r>
      <w:r>
        <w:rPr>
          <w:rFonts w:ascii="仿宋_gb2312" w:eastAsia="仿宋_gb2312" w:hint="eastAsia"/>
          <w:sz w:val="32"/>
          <w:szCs w:val="32"/>
        </w:rPr>
        <w:t>〔</w:t>
      </w:r>
      <w:r>
        <w:rPr>
          <w:rFonts w:ascii="仿宋_gb2312" w:eastAsia="仿宋_gb2312" w:hAnsi="宋体" w:cs="Arial" w:hint="eastAsia"/>
          <w:sz w:val="32"/>
          <w:szCs w:val="32"/>
        </w:rPr>
        <w:t>2012</w:t>
      </w:r>
      <w:r>
        <w:rPr>
          <w:rFonts w:ascii="仿宋_gb2312" w:eastAsia="仿宋_gb2312" w:hint="eastAsia"/>
          <w:sz w:val="32"/>
          <w:szCs w:val="32"/>
        </w:rPr>
        <w:t>〕</w:t>
      </w:r>
      <w:r>
        <w:rPr>
          <w:rFonts w:ascii="仿宋_gb2312" w:eastAsia="仿宋_gb2312" w:hAnsi="宋体" w:cs="Arial" w:hint="eastAsia"/>
          <w:sz w:val="32"/>
          <w:szCs w:val="32"/>
        </w:rPr>
        <w:t>42号）实施情况基础上</w:t>
      </w:r>
      <w:r>
        <w:rPr>
          <w:rFonts w:ascii="仿宋_gb2312" w:eastAsia="仿宋_gb2312" w:hAnsi="宋体" w:cs="宋体" w:hint="eastAsia"/>
          <w:kern w:val="2"/>
          <w:sz w:val="32"/>
          <w:szCs w:val="32"/>
        </w:rPr>
        <w:t>，制定本办法。</w:t>
      </w:r>
    </w:p>
    <w:p w:rsidR="007472A4" w:rsidRDefault="007472A4">
      <w:pPr>
        <w:pStyle w:val="a7"/>
        <w:widowControl/>
        <w:spacing w:before="0" w:beforeAutospacing="0" w:after="0" w:afterAutospacing="0" w:line="590" w:lineRule="exact"/>
        <w:ind w:firstLineChars="200" w:firstLine="640"/>
        <w:jc w:val="both"/>
        <w:rPr>
          <w:rFonts w:ascii="黑体" w:eastAsia="黑体" w:hAnsi="黑体" w:cs="宋体" w:hint="eastAsia"/>
          <w:kern w:val="2"/>
          <w:sz w:val="32"/>
          <w:szCs w:val="32"/>
        </w:rPr>
      </w:pPr>
      <w:r>
        <w:rPr>
          <w:rFonts w:ascii="黑体" w:eastAsia="黑体" w:hAnsi="黑体" w:cs="宋体" w:hint="eastAsia"/>
          <w:kern w:val="2"/>
          <w:sz w:val="32"/>
          <w:szCs w:val="32"/>
        </w:rPr>
        <w:t>一、基本要求和考核内容</w:t>
      </w:r>
    </w:p>
    <w:p w:rsidR="007472A4" w:rsidRDefault="007472A4">
      <w:pPr>
        <w:pStyle w:val="a7"/>
        <w:widowControl/>
        <w:spacing w:before="0" w:beforeAutospacing="0" w:after="0" w:afterAutospacing="0" w:line="590" w:lineRule="exact"/>
        <w:ind w:firstLineChars="200" w:firstLine="640"/>
        <w:jc w:val="both"/>
        <w:rPr>
          <w:rFonts w:ascii="仿宋_gb2312" w:eastAsia="仿宋_gb2312" w:hAnsi="宋体" w:cs="宋体" w:hint="eastAsia"/>
          <w:kern w:val="2"/>
          <w:sz w:val="32"/>
          <w:szCs w:val="32"/>
        </w:rPr>
      </w:pPr>
      <w:r>
        <w:rPr>
          <w:rFonts w:ascii="仿宋_gb2312" w:eastAsia="仿宋_gb2312" w:hAnsi="宋体" w:cs="宋体" w:hint="eastAsia"/>
          <w:kern w:val="2"/>
          <w:sz w:val="32"/>
          <w:szCs w:val="32"/>
        </w:rPr>
        <w:t>中期考核是研究生培养过程的必要环节，旨在全面考查研究生入学以来的思想政治表现、课程学习情况、学术研究能力及学位论文进展情况等，及时发现培养过程中存在的问题，对其后续学业安排提出意见、建议和要求，保障研究生培养质量。</w:t>
      </w:r>
    </w:p>
    <w:p w:rsidR="007472A4" w:rsidRDefault="007472A4">
      <w:pPr>
        <w:pStyle w:val="a7"/>
        <w:widowControl/>
        <w:spacing w:before="0" w:beforeAutospacing="0" w:after="0" w:afterAutospacing="0" w:line="590" w:lineRule="exact"/>
        <w:ind w:firstLineChars="200" w:firstLine="640"/>
        <w:jc w:val="both"/>
        <w:rPr>
          <w:rFonts w:ascii="仿宋_gb2312" w:eastAsia="仿宋_gb2312" w:hAnsi="宋体" w:cs="Arial" w:hint="eastAsia"/>
          <w:sz w:val="32"/>
          <w:szCs w:val="32"/>
        </w:rPr>
      </w:pPr>
      <w:r>
        <w:rPr>
          <w:rFonts w:ascii="仿宋_gb2312" w:eastAsia="仿宋_gb2312" w:hAnsi="宋体" w:cs="宋体" w:hint="eastAsia"/>
          <w:kern w:val="2"/>
          <w:sz w:val="32"/>
          <w:szCs w:val="32"/>
        </w:rPr>
        <w:t>（一）研究生在中期考核前，须完成培养方案相关要求、修完个人培养计划的全部课程和通过必修环节（专业学位的专业实践除外），并取得学分；</w:t>
      </w:r>
      <w:r>
        <w:rPr>
          <w:rFonts w:ascii="仿宋_gb2312" w:eastAsia="仿宋_gb2312" w:hAnsi="宋体" w:cs="Arial" w:hint="eastAsia"/>
          <w:sz w:val="32"/>
          <w:szCs w:val="32"/>
        </w:rPr>
        <w:t>学位课程平均分不少于75分；通过学位论文开题报告。</w:t>
      </w:r>
    </w:p>
    <w:p w:rsidR="007472A4" w:rsidRDefault="007472A4">
      <w:pPr>
        <w:pStyle w:val="a7"/>
        <w:widowControl/>
        <w:spacing w:before="0" w:beforeAutospacing="0" w:after="0" w:afterAutospacing="0" w:line="590" w:lineRule="exact"/>
        <w:ind w:firstLineChars="200" w:firstLine="640"/>
        <w:jc w:val="both"/>
        <w:rPr>
          <w:rFonts w:ascii="仿宋_gb2312" w:eastAsia="仿宋_gb2312" w:hAnsi="宋体" w:cs="宋体" w:hint="eastAsia"/>
          <w:sz w:val="32"/>
          <w:szCs w:val="32"/>
        </w:rPr>
      </w:pPr>
      <w:r>
        <w:rPr>
          <w:rFonts w:ascii="仿宋_gb2312" w:eastAsia="仿宋_gb2312" w:hAnsi="宋体" w:cs="宋体" w:hint="eastAsia"/>
          <w:kern w:val="2"/>
          <w:sz w:val="32"/>
          <w:szCs w:val="32"/>
        </w:rPr>
        <w:t>（二）</w:t>
      </w:r>
      <w:r>
        <w:rPr>
          <w:rFonts w:ascii="仿宋_gb2312" w:eastAsia="仿宋_gb2312" w:hAnsi="宋体" w:cs="宋体" w:hint="eastAsia"/>
          <w:sz w:val="32"/>
          <w:szCs w:val="32"/>
        </w:rPr>
        <w:t>中期考核原则上不迟于</w:t>
      </w:r>
      <w:r>
        <w:rPr>
          <w:rFonts w:ascii="仿宋_gb2312" w:eastAsia="仿宋_gb2312" w:hAnsi="宋体" w:cs="仿宋_gb2312" w:hint="eastAsia"/>
          <w:color w:val="000000"/>
          <w:sz w:val="32"/>
          <w:szCs w:val="32"/>
        </w:rPr>
        <w:t>第四学期完成</w:t>
      </w:r>
      <w:r>
        <w:rPr>
          <w:rFonts w:ascii="仿宋_gb2312" w:eastAsia="仿宋_gb2312" w:hAnsi="宋体" w:cs="宋体" w:hint="eastAsia"/>
          <w:sz w:val="32"/>
          <w:szCs w:val="32"/>
        </w:rPr>
        <w:t>。确因特殊情况无法按时进行的，须由研究生本人提出书面申请，经导师和培养单位分管领导审核同意后报研究生院培养管理办公室备案方可延期进行。</w:t>
      </w:r>
    </w:p>
    <w:p w:rsidR="007472A4" w:rsidRDefault="007472A4">
      <w:pPr>
        <w:pStyle w:val="a7"/>
        <w:widowControl/>
        <w:spacing w:before="0" w:beforeAutospacing="0" w:after="0" w:afterAutospacing="0" w:line="590" w:lineRule="exact"/>
        <w:ind w:firstLineChars="200" w:firstLine="640"/>
        <w:jc w:val="both"/>
        <w:rPr>
          <w:rFonts w:ascii="仿宋_gb2312" w:eastAsia="仿宋_gb2312" w:hAnsi="宋体" w:cs="宋体" w:hint="eastAsia"/>
          <w:sz w:val="32"/>
          <w:szCs w:val="32"/>
        </w:rPr>
      </w:pPr>
      <w:r>
        <w:rPr>
          <w:rFonts w:ascii="仿宋_gb2312" w:eastAsia="仿宋_gb2312" w:hAnsi="宋体" w:cs="宋体" w:hint="eastAsia"/>
          <w:sz w:val="32"/>
          <w:szCs w:val="32"/>
        </w:rPr>
        <w:t>原则上学位论文开题报告通过后半年进行中期考核，中期考核合格后半年才允许答辩。</w:t>
      </w:r>
    </w:p>
    <w:p w:rsidR="007472A4" w:rsidRDefault="007472A4">
      <w:pPr>
        <w:pStyle w:val="a7"/>
        <w:widowControl/>
        <w:numPr>
          <w:ilvl w:val="0"/>
          <w:numId w:val="1"/>
        </w:numPr>
        <w:spacing w:before="0" w:beforeAutospacing="0" w:after="0" w:afterAutospacing="0" w:line="590" w:lineRule="exact"/>
        <w:ind w:firstLineChars="200" w:firstLine="640"/>
        <w:jc w:val="both"/>
        <w:rPr>
          <w:rFonts w:ascii="仿宋_gb2312" w:eastAsia="仿宋_gb2312" w:hAnsi="宋体" w:cs="宋体" w:hint="eastAsia"/>
          <w:kern w:val="2"/>
          <w:sz w:val="32"/>
          <w:szCs w:val="32"/>
        </w:rPr>
      </w:pPr>
      <w:r>
        <w:rPr>
          <w:rFonts w:ascii="仿宋_gb2312" w:eastAsia="仿宋_gb2312" w:hAnsi="宋体" w:cs="宋体" w:hint="eastAsia"/>
          <w:kern w:val="2"/>
          <w:sz w:val="32"/>
          <w:szCs w:val="32"/>
        </w:rPr>
        <w:lastRenderedPageBreak/>
        <w:t>中期考核内容包括思想政治素质考核、培养方案相关要求和个人培养计划执行情况审查、学术素养和学位论文进展考核。</w:t>
      </w:r>
    </w:p>
    <w:p w:rsidR="007472A4" w:rsidRDefault="007472A4">
      <w:pPr>
        <w:pStyle w:val="a7"/>
        <w:widowControl/>
        <w:spacing w:before="0" w:beforeAutospacing="0" w:after="0" w:afterAutospacing="0" w:line="590" w:lineRule="exact"/>
        <w:ind w:firstLineChars="200" w:firstLine="640"/>
        <w:jc w:val="both"/>
        <w:rPr>
          <w:rFonts w:ascii="仿宋_gb2312" w:eastAsia="仿宋_gb2312" w:hAnsi="宋体" w:cs="宋体" w:hint="eastAsia"/>
          <w:kern w:val="2"/>
          <w:sz w:val="32"/>
          <w:szCs w:val="32"/>
        </w:rPr>
      </w:pPr>
      <w:r>
        <w:rPr>
          <w:rFonts w:ascii="仿宋_gb2312" w:eastAsia="仿宋_gb2312" w:hAnsi="宋体" w:cs="宋体" w:hint="eastAsia"/>
          <w:kern w:val="2"/>
          <w:sz w:val="32"/>
          <w:szCs w:val="32"/>
        </w:rPr>
        <w:t>1.思想政治素质考核主要从政治思想、道德品质、治学态度、组织纪律及学术诚信等方面进行考察。凡有下列情形之一者视为考核不合格：</w:t>
      </w:r>
    </w:p>
    <w:p w:rsidR="007472A4" w:rsidRDefault="007472A4">
      <w:pPr>
        <w:pStyle w:val="a7"/>
        <w:widowControl/>
        <w:spacing w:before="0" w:beforeAutospacing="0" w:after="0" w:afterAutospacing="0" w:line="590" w:lineRule="exact"/>
        <w:ind w:firstLineChars="200" w:firstLine="640"/>
        <w:jc w:val="both"/>
        <w:rPr>
          <w:rFonts w:ascii="仿宋_gb2312" w:eastAsia="仿宋_gb2312" w:hAnsi="宋体" w:cs="宋体" w:hint="eastAsia"/>
          <w:kern w:val="2"/>
          <w:sz w:val="32"/>
          <w:szCs w:val="32"/>
        </w:rPr>
      </w:pPr>
      <w:r>
        <w:rPr>
          <w:rFonts w:ascii="仿宋_gb2312" w:eastAsia="仿宋_gb2312" w:hAnsi="宋体" w:cs="宋体" w:hint="eastAsia"/>
          <w:kern w:val="2"/>
          <w:sz w:val="32"/>
          <w:szCs w:val="32"/>
        </w:rPr>
        <w:t>（1）违反国家相关法律法规、严重违反学校相关纪律规定；</w:t>
      </w:r>
    </w:p>
    <w:p w:rsidR="007472A4" w:rsidRDefault="007472A4">
      <w:pPr>
        <w:pStyle w:val="a7"/>
        <w:widowControl/>
        <w:spacing w:before="0" w:beforeAutospacing="0" w:after="0" w:afterAutospacing="0" w:line="590" w:lineRule="exact"/>
        <w:ind w:firstLineChars="200" w:firstLine="640"/>
        <w:jc w:val="both"/>
        <w:rPr>
          <w:rFonts w:ascii="仿宋_gb2312" w:eastAsia="仿宋_gb2312" w:hAnsi="宋体" w:cs="宋体" w:hint="eastAsia"/>
          <w:kern w:val="2"/>
          <w:sz w:val="32"/>
          <w:szCs w:val="32"/>
        </w:rPr>
      </w:pPr>
      <w:r>
        <w:rPr>
          <w:rFonts w:ascii="仿宋_gb2312" w:eastAsia="仿宋_gb2312" w:hAnsi="宋体" w:cs="宋体" w:hint="eastAsia"/>
          <w:kern w:val="2"/>
          <w:sz w:val="32"/>
          <w:szCs w:val="32"/>
        </w:rPr>
        <w:t>（2）在课程学习及考试中弄虚作假、严重违纪；</w:t>
      </w:r>
    </w:p>
    <w:p w:rsidR="007472A4" w:rsidRDefault="007472A4">
      <w:pPr>
        <w:pStyle w:val="a7"/>
        <w:widowControl/>
        <w:spacing w:before="0" w:beforeAutospacing="0" w:after="0" w:afterAutospacing="0" w:line="590" w:lineRule="exact"/>
        <w:ind w:firstLineChars="200" w:firstLine="640"/>
        <w:jc w:val="both"/>
        <w:rPr>
          <w:rFonts w:ascii="仿宋_gb2312" w:eastAsia="仿宋_gb2312" w:hAnsi="宋体" w:cs="宋体" w:hint="eastAsia"/>
          <w:kern w:val="2"/>
          <w:sz w:val="32"/>
          <w:szCs w:val="32"/>
        </w:rPr>
      </w:pPr>
      <w:r>
        <w:rPr>
          <w:rFonts w:ascii="仿宋_gb2312" w:eastAsia="仿宋_gb2312" w:hAnsi="宋体" w:cs="宋体" w:hint="eastAsia"/>
          <w:kern w:val="2"/>
          <w:sz w:val="32"/>
          <w:szCs w:val="32"/>
        </w:rPr>
        <w:t>（3）在学术研究中抄袭或剽窃他人科研成果，违反学术道德规范。</w:t>
      </w:r>
    </w:p>
    <w:p w:rsidR="007472A4" w:rsidRDefault="007472A4">
      <w:pPr>
        <w:pStyle w:val="a7"/>
        <w:widowControl/>
        <w:spacing w:before="0" w:beforeAutospacing="0" w:after="0" w:afterAutospacing="0" w:line="590" w:lineRule="exact"/>
        <w:ind w:firstLineChars="200" w:firstLine="640"/>
        <w:jc w:val="both"/>
        <w:rPr>
          <w:rFonts w:ascii="仿宋_gb2312" w:eastAsia="仿宋_gb2312" w:hAnsi="宋体" w:cs="宋体" w:hint="eastAsia"/>
          <w:kern w:val="2"/>
          <w:sz w:val="32"/>
          <w:szCs w:val="32"/>
        </w:rPr>
      </w:pPr>
      <w:r>
        <w:rPr>
          <w:rFonts w:ascii="仿宋_gb2312" w:eastAsia="仿宋_gb2312" w:hAnsi="宋体" w:cs="宋体" w:hint="eastAsia"/>
          <w:kern w:val="2"/>
          <w:sz w:val="32"/>
          <w:szCs w:val="32"/>
        </w:rPr>
        <w:t>2.培养方案相关要求和个人培养计划执行情况审查包括课程学习及学分修习情况、培养过程必修环节完成情况、学术活动参与情况等。专业学位研究生须对必修环节中的专业实践进行中期考核。</w:t>
      </w:r>
    </w:p>
    <w:p w:rsidR="007472A4" w:rsidRDefault="007472A4">
      <w:pPr>
        <w:pStyle w:val="a7"/>
        <w:widowControl/>
        <w:spacing w:before="0" w:beforeAutospacing="0" w:after="0" w:afterAutospacing="0" w:line="590" w:lineRule="exact"/>
        <w:ind w:firstLineChars="200" w:firstLine="640"/>
        <w:jc w:val="both"/>
        <w:rPr>
          <w:rFonts w:ascii="仿宋_gb2312" w:eastAsia="仿宋_gb2312" w:hAnsi="宋体" w:cs="宋体" w:hint="eastAsia"/>
          <w:kern w:val="2"/>
          <w:sz w:val="32"/>
          <w:szCs w:val="32"/>
        </w:rPr>
      </w:pPr>
      <w:r>
        <w:rPr>
          <w:rFonts w:ascii="仿宋_gb2312" w:eastAsia="仿宋_gb2312" w:hAnsi="宋体" w:cs="宋体" w:hint="eastAsia"/>
          <w:kern w:val="2"/>
          <w:sz w:val="32"/>
          <w:szCs w:val="32"/>
        </w:rPr>
        <w:t>3.学术素养和学位论文进展考核主要考查研究生是否具有深厚学术素养（包括专业理解能力、专业批评能力、知识运用能力、问题分析能力和方法评价能力）以及自学位论文开题以来在相关科研、论文撰写方面的进展情况等。</w:t>
      </w:r>
    </w:p>
    <w:p w:rsidR="007472A4" w:rsidRDefault="007472A4">
      <w:pPr>
        <w:pStyle w:val="a7"/>
        <w:widowControl/>
        <w:spacing w:before="0" w:beforeAutospacing="0" w:after="0" w:afterAutospacing="0" w:line="590" w:lineRule="exact"/>
        <w:ind w:firstLineChars="200" w:firstLine="640"/>
        <w:jc w:val="both"/>
        <w:rPr>
          <w:rFonts w:ascii="仿宋_gb2312" w:eastAsia="仿宋_gb2312" w:hAnsi="宋体" w:cs="宋体" w:hint="eastAsia"/>
          <w:kern w:val="2"/>
          <w:sz w:val="32"/>
          <w:szCs w:val="32"/>
        </w:rPr>
      </w:pPr>
      <w:r>
        <w:rPr>
          <w:rFonts w:ascii="仿宋_gb2312" w:eastAsia="仿宋_gb2312" w:hAnsi="宋体" w:cs="宋体" w:hint="eastAsia"/>
          <w:kern w:val="2"/>
          <w:sz w:val="32"/>
          <w:szCs w:val="32"/>
        </w:rPr>
        <w:t>学术素养和学位论文进展考核以公开答辩的方式进行。汇报内容应涵盖研究生在自己研究领域内所做的研究进展，阅读的文献资料、参加的学术活动、参与导师的科研项目、已发表的学术论文及取得的科研成果、自学位论文开题论文</w:t>
      </w:r>
      <w:r>
        <w:rPr>
          <w:rFonts w:ascii="仿宋_gb2312" w:eastAsia="仿宋_gb2312" w:hAnsi="宋体" w:cs="宋体" w:hint="eastAsia"/>
          <w:kern w:val="2"/>
          <w:sz w:val="32"/>
          <w:szCs w:val="32"/>
        </w:rPr>
        <w:lastRenderedPageBreak/>
        <w:t>撰写及研究方面的进展情况、目前研究中存在的问题及下一步的研究设想等。</w:t>
      </w:r>
    </w:p>
    <w:p w:rsidR="007472A4" w:rsidRDefault="007472A4">
      <w:pPr>
        <w:pStyle w:val="a7"/>
        <w:widowControl/>
        <w:spacing w:before="0" w:beforeAutospacing="0" w:after="0" w:afterAutospacing="0" w:line="590" w:lineRule="exact"/>
        <w:ind w:firstLineChars="200" w:firstLine="640"/>
        <w:jc w:val="both"/>
        <w:rPr>
          <w:rFonts w:ascii="仿宋_gb2312" w:eastAsia="仿宋_gb2312" w:hAnsi="宋体" w:cs="宋体" w:hint="eastAsia"/>
          <w:kern w:val="2"/>
          <w:sz w:val="32"/>
          <w:szCs w:val="32"/>
        </w:rPr>
      </w:pPr>
      <w:r>
        <w:rPr>
          <w:rFonts w:ascii="仿宋_gb2312" w:eastAsia="仿宋_gb2312" w:hAnsi="宋体" w:cs="宋体" w:hint="eastAsia"/>
          <w:kern w:val="2"/>
          <w:sz w:val="32"/>
          <w:szCs w:val="32"/>
        </w:rPr>
        <w:t>博士生的科研进展报告可结合学术素养和学位论文进展考核一起完成。</w:t>
      </w:r>
    </w:p>
    <w:p w:rsidR="007472A4" w:rsidRDefault="007472A4">
      <w:pPr>
        <w:pStyle w:val="a7"/>
        <w:widowControl/>
        <w:spacing w:before="0" w:beforeAutospacing="0" w:after="0" w:afterAutospacing="0" w:line="590" w:lineRule="exact"/>
        <w:ind w:firstLineChars="200" w:firstLine="640"/>
        <w:jc w:val="both"/>
        <w:rPr>
          <w:rFonts w:ascii="黑体" w:eastAsia="黑体" w:hAnsi="黑体" w:cs="宋体" w:hint="eastAsia"/>
          <w:kern w:val="2"/>
          <w:sz w:val="32"/>
          <w:szCs w:val="32"/>
        </w:rPr>
      </w:pPr>
      <w:r>
        <w:rPr>
          <w:rFonts w:ascii="黑体" w:eastAsia="黑体" w:hAnsi="黑体" w:cs="宋体" w:hint="eastAsia"/>
          <w:kern w:val="2"/>
          <w:sz w:val="32"/>
          <w:szCs w:val="32"/>
        </w:rPr>
        <w:t>二、考核组织和实施</w:t>
      </w:r>
    </w:p>
    <w:p w:rsidR="007472A4" w:rsidRDefault="007472A4">
      <w:pPr>
        <w:pStyle w:val="a7"/>
        <w:widowControl/>
        <w:spacing w:before="0" w:beforeAutospacing="0" w:after="0" w:afterAutospacing="0" w:line="590" w:lineRule="exact"/>
        <w:ind w:firstLineChars="200" w:firstLine="640"/>
        <w:jc w:val="both"/>
        <w:rPr>
          <w:rFonts w:ascii="仿宋_gb2312" w:eastAsia="仿宋_gb2312" w:hAnsi="宋体" w:cs="宋体" w:hint="eastAsia"/>
          <w:kern w:val="2"/>
          <w:sz w:val="32"/>
          <w:szCs w:val="32"/>
        </w:rPr>
      </w:pPr>
      <w:r>
        <w:rPr>
          <w:rFonts w:ascii="仿宋_gb2312" w:eastAsia="仿宋_gb2312" w:hAnsi="宋体" w:cs="宋体" w:hint="eastAsia"/>
          <w:kern w:val="2"/>
          <w:sz w:val="32"/>
          <w:szCs w:val="32"/>
        </w:rPr>
        <w:t>中期考核由各研究生培养单位组织实施。</w:t>
      </w:r>
    </w:p>
    <w:p w:rsidR="007472A4" w:rsidRDefault="007472A4">
      <w:pPr>
        <w:pStyle w:val="a7"/>
        <w:widowControl/>
        <w:spacing w:before="0" w:beforeAutospacing="0" w:after="0" w:afterAutospacing="0" w:line="590" w:lineRule="exact"/>
        <w:ind w:firstLineChars="200" w:firstLine="640"/>
        <w:jc w:val="both"/>
        <w:rPr>
          <w:rFonts w:ascii="仿宋_gb2312" w:eastAsia="仿宋_gb2312" w:hAnsi="宋体" w:cs="宋体" w:hint="eastAsia"/>
          <w:kern w:val="2"/>
          <w:sz w:val="32"/>
          <w:szCs w:val="32"/>
        </w:rPr>
      </w:pPr>
      <w:r>
        <w:rPr>
          <w:rFonts w:ascii="仿宋_gb2312" w:eastAsia="仿宋_gb2312" w:hAnsi="宋体" w:cs="宋体" w:hint="eastAsia"/>
          <w:kern w:val="2"/>
          <w:sz w:val="32"/>
          <w:szCs w:val="32"/>
        </w:rPr>
        <w:t>思想政治素质考核由培养单位党委组织并给出考核结论。</w:t>
      </w:r>
    </w:p>
    <w:p w:rsidR="007472A4" w:rsidRDefault="007472A4">
      <w:pPr>
        <w:pStyle w:val="a7"/>
        <w:widowControl/>
        <w:spacing w:before="0" w:beforeAutospacing="0" w:after="0" w:afterAutospacing="0" w:line="590" w:lineRule="exact"/>
        <w:ind w:firstLineChars="200" w:firstLine="640"/>
        <w:jc w:val="both"/>
        <w:rPr>
          <w:rFonts w:ascii="仿宋_gb2312" w:eastAsia="仿宋_gb2312" w:hAnsi="宋体" w:cs="宋体" w:hint="eastAsia"/>
          <w:kern w:val="2"/>
          <w:sz w:val="32"/>
          <w:szCs w:val="32"/>
        </w:rPr>
      </w:pPr>
      <w:r>
        <w:rPr>
          <w:rFonts w:ascii="仿宋_gb2312" w:eastAsia="仿宋_gb2312" w:hAnsi="宋体" w:cs="宋体" w:hint="eastAsia"/>
          <w:kern w:val="2"/>
          <w:sz w:val="32"/>
          <w:szCs w:val="32"/>
        </w:rPr>
        <w:t>培养方案相关要求和个人培养计划执行情况由导师负责审查。</w:t>
      </w:r>
    </w:p>
    <w:p w:rsidR="007472A4" w:rsidRDefault="007472A4">
      <w:pPr>
        <w:pStyle w:val="a7"/>
        <w:widowControl/>
        <w:spacing w:before="0" w:beforeAutospacing="0" w:after="0" w:afterAutospacing="0" w:line="590" w:lineRule="exact"/>
        <w:ind w:firstLineChars="200" w:firstLine="640"/>
        <w:jc w:val="both"/>
        <w:rPr>
          <w:rFonts w:ascii="仿宋_gb2312" w:eastAsia="仿宋_gb2312" w:hAnsi="宋体" w:cs="宋体" w:hint="eastAsia"/>
          <w:kern w:val="2"/>
          <w:sz w:val="32"/>
          <w:szCs w:val="32"/>
        </w:rPr>
      </w:pPr>
      <w:r>
        <w:rPr>
          <w:rFonts w:ascii="仿宋_gb2312" w:eastAsia="仿宋_gb2312" w:hAnsi="宋体" w:cs="宋体" w:hint="eastAsia"/>
          <w:kern w:val="2"/>
          <w:sz w:val="32"/>
          <w:szCs w:val="32"/>
        </w:rPr>
        <w:t>学术素养和学位论文进展考核由考核小组负责考评。硕士生考核小组由3</w:t>
      </w:r>
      <w:r>
        <w:rPr>
          <w:rFonts w:ascii="仿宋_gb2312" w:eastAsia="仿宋_gb2312" w:hAnsi="宋体" w:cs="Arial" w:hint="eastAsia"/>
          <w:sz w:val="32"/>
          <w:szCs w:val="32"/>
        </w:rPr>
        <w:t>～</w:t>
      </w:r>
      <w:r>
        <w:rPr>
          <w:rFonts w:ascii="仿宋_gb2312" w:eastAsia="仿宋_gb2312" w:hAnsi="宋体" w:cs="宋体" w:hint="eastAsia"/>
          <w:kern w:val="2"/>
          <w:sz w:val="32"/>
          <w:szCs w:val="32"/>
        </w:rPr>
        <w:t>5名具有副高级以上（含）职称或具有硕士生</w:t>
      </w:r>
      <w:r>
        <w:rPr>
          <w:rFonts w:ascii="仿宋_gb2312" w:eastAsia="仿宋_gb2312" w:hAnsi="宋体" w:cs="Arial" w:hint="eastAsia"/>
          <w:sz w:val="32"/>
          <w:szCs w:val="32"/>
        </w:rPr>
        <w:t>导师</w:t>
      </w:r>
      <w:r>
        <w:rPr>
          <w:rFonts w:ascii="仿宋_gb2312" w:eastAsia="仿宋_gb2312" w:hAnsi="宋体" w:cs="宋体" w:hint="eastAsia"/>
          <w:kern w:val="2"/>
          <w:sz w:val="32"/>
          <w:szCs w:val="32"/>
        </w:rPr>
        <w:t>资格的教师组成，原则上</w:t>
      </w:r>
      <w:r>
        <w:rPr>
          <w:rFonts w:ascii="仿宋_gb2312" w:eastAsia="仿宋_gb2312" w:hAnsi="宋体" w:cs="Arial" w:hint="eastAsia"/>
          <w:sz w:val="32"/>
          <w:szCs w:val="32"/>
        </w:rPr>
        <w:t>成员半数以上具有硕士生导师资格，组长须由硕士生导师担任</w:t>
      </w:r>
      <w:r>
        <w:rPr>
          <w:rFonts w:ascii="仿宋_gb2312" w:eastAsia="仿宋_gb2312" w:hAnsi="宋体" w:cs="宋体" w:hint="eastAsia"/>
          <w:kern w:val="2"/>
          <w:sz w:val="32"/>
          <w:szCs w:val="32"/>
        </w:rPr>
        <w:t>；博士生考核小组由5</w:t>
      </w:r>
      <w:r>
        <w:rPr>
          <w:rFonts w:ascii="仿宋_gb2312" w:eastAsia="仿宋_gb2312" w:hAnsi="宋体" w:cs="Arial" w:hint="eastAsia"/>
          <w:sz w:val="32"/>
          <w:szCs w:val="32"/>
        </w:rPr>
        <w:t>～</w:t>
      </w:r>
      <w:r>
        <w:rPr>
          <w:rFonts w:ascii="仿宋_gb2312" w:eastAsia="仿宋_gb2312" w:hAnsi="宋体" w:cs="宋体" w:hint="eastAsia"/>
          <w:kern w:val="2"/>
          <w:sz w:val="32"/>
          <w:szCs w:val="32"/>
        </w:rPr>
        <w:t>7名正高级职称教师或博士生</w:t>
      </w:r>
      <w:r>
        <w:rPr>
          <w:rFonts w:ascii="仿宋_gb2312" w:eastAsia="仿宋_gb2312" w:hAnsi="宋体" w:cs="Arial" w:hint="eastAsia"/>
          <w:sz w:val="32"/>
          <w:szCs w:val="32"/>
        </w:rPr>
        <w:t>导师组成</w:t>
      </w:r>
      <w:r>
        <w:rPr>
          <w:rFonts w:ascii="仿宋_gb2312" w:eastAsia="仿宋_gb2312" w:hAnsi="宋体" w:cs="宋体" w:hint="eastAsia"/>
          <w:kern w:val="2"/>
          <w:sz w:val="32"/>
          <w:szCs w:val="32"/>
        </w:rPr>
        <w:t>，原则上</w:t>
      </w:r>
      <w:r>
        <w:rPr>
          <w:rFonts w:ascii="仿宋_gb2312" w:eastAsia="仿宋_gb2312" w:hAnsi="宋体" w:cs="Arial" w:hint="eastAsia"/>
          <w:sz w:val="32"/>
          <w:szCs w:val="32"/>
        </w:rPr>
        <w:t>成员半数以上具有博士生导师资格，组长须由博士生导师担任</w:t>
      </w:r>
      <w:r>
        <w:rPr>
          <w:rFonts w:ascii="仿宋_gb2312" w:eastAsia="仿宋_gb2312" w:hAnsi="宋体" w:cs="宋体" w:hint="eastAsia"/>
          <w:kern w:val="2"/>
          <w:sz w:val="32"/>
          <w:szCs w:val="32"/>
        </w:rPr>
        <w:t>。</w:t>
      </w:r>
      <w:r>
        <w:rPr>
          <w:rFonts w:ascii="仿宋_gb2312" w:eastAsia="仿宋_gb2312" w:hAnsi="宋体" w:cs="Arial" w:hint="eastAsia"/>
          <w:sz w:val="32"/>
          <w:szCs w:val="32"/>
        </w:rPr>
        <w:t>参与考核研究生的导师</w:t>
      </w:r>
      <w:r>
        <w:rPr>
          <w:rFonts w:ascii="仿宋_gb2312" w:eastAsia="仿宋_gb2312" w:hAnsi="宋体" w:cs="宋体" w:hint="eastAsia"/>
          <w:kern w:val="2"/>
          <w:sz w:val="32"/>
          <w:szCs w:val="32"/>
        </w:rPr>
        <w:t>是否</w:t>
      </w:r>
      <w:r>
        <w:rPr>
          <w:rFonts w:ascii="仿宋_gb2312" w:eastAsia="仿宋_gb2312" w:hAnsi="宋体" w:cs="Arial" w:hint="eastAsia"/>
          <w:sz w:val="32"/>
          <w:szCs w:val="32"/>
        </w:rPr>
        <w:t>参加答辩会，由培养单位自行决定。</w:t>
      </w:r>
      <w:r>
        <w:rPr>
          <w:rFonts w:ascii="仿宋_gb2312" w:eastAsia="仿宋_gb2312" w:hAnsi="宋体" w:cs="宋体" w:hint="eastAsia"/>
          <w:kern w:val="2"/>
          <w:sz w:val="32"/>
          <w:szCs w:val="32"/>
        </w:rPr>
        <w:t>考核小组遵循公平公正原则，</w:t>
      </w:r>
      <w:r>
        <w:rPr>
          <w:rFonts w:ascii="仿宋_gb2312" w:eastAsia="仿宋_gb2312" w:hAnsi="宋体" w:cs="Arial" w:hint="eastAsia"/>
          <w:sz w:val="32"/>
          <w:szCs w:val="32"/>
        </w:rPr>
        <w:t>集体决议</w:t>
      </w:r>
      <w:r>
        <w:rPr>
          <w:rFonts w:ascii="仿宋_gb2312" w:eastAsia="仿宋_gb2312" w:hAnsi="宋体" w:cs="宋体" w:hint="eastAsia"/>
          <w:kern w:val="2"/>
          <w:sz w:val="32"/>
          <w:szCs w:val="32"/>
        </w:rPr>
        <w:t>给出考核结论。</w:t>
      </w:r>
    </w:p>
    <w:p w:rsidR="007472A4" w:rsidRDefault="007472A4">
      <w:pPr>
        <w:pStyle w:val="a7"/>
        <w:widowControl/>
        <w:spacing w:before="0" w:beforeAutospacing="0" w:after="0" w:afterAutospacing="0" w:line="590" w:lineRule="exact"/>
        <w:ind w:firstLineChars="200" w:firstLine="640"/>
        <w:jc w:val="both"/>
        <w:rPr>
          <w:rFonts w:ascii="黑体" w:eastAsia="黑体" w:hAnsi="黑体" w:hint="eastAsia"/>
          <w:sz w:val="32"/>
          <w:szCs w:val="32"/>
        </w:rPr>
      </w:pPr>
      <w:r>
        <w:rPr>
          <w:rFonts w:ascii="黑体" w:eastAsia="黑体" w:hAnsi="黑体" w:cs="宋体" w:hint="eastAsia"/>
          <w:kern w:val="2"/>
          <w:sz w:val="32"/>
          <w:szCs w:val="32"/>
        </w:rPr>
        <w:t>三、考核结论</w:t>
      </w:r>
    </w:p>
    <w:p w:rsidR="007472A4" w:rsidRDefault="007472A4">
      <w:pPr>
        <w:pStyle w:val="a7"/>
        <w:widowControl/>
        <w:spacing w:before="0" w:beforeAutospacing="0" w:after="0" w:afterAutospacing="0" w:line="590" w:lineRule="exact"/>
        <w:ind w:firstLineChars="200" w:firstLine="640"/>
        <w:jc w:val="both"/>
        <w:rPr>
          <w:rFonts w:ascii="仿宋_gb2312" w:eastAsia="仿宋_gb2312" w:hAnsi="宋体" w:cs="宋体" w:hint="eastAsia"/>
          <w:kern w:val="2"/>
          <w:sz w:val="32"/>
          <w:szCs w:val="32"/>
        </w:rPr>
      </w:pPr>
      <w:r>
        <w:rPr>
          <w:rFonts w:ascii="仿宋_gb2312" w:eastAsia="仿宋_gb2312" w:hAnsi="宋体" w:cs="宋体" w:hint="eastAsia"/>
          <w:kern w:val="2"/>
          <w:sz w:val="32"/>
          <w:szCs w:val="32"/>
        </w:rPr>
        <w:t>中期考核结论分为合格、不合格。思想政治素质考核、培养方案相关要求和个人培养计划执行情况审查、学术素养和学位论文进展考核三部分中任何一部分不合格，均视为中期考核不合格。</w:t>
      </w:r>
    </w:p>
    <w:p w:rsidR="007472A4" w:rsidRDefault="007472A4">
      <w:pPr>
        <w:pStyle w:val="a7"/>
        <w:widowControl/>
        <w:spacing w:before="0" w:beforeAutospacing="0" w:after="0" w:afterAutospacing="0" w:line="590" w:lineRule="exact"/>
        <w:ind w:firstLineChars="200" w:firstLine="640"/>
        <w:jc w:val="both"/>
        <w:rPr>
          <w:rFonts w:ascii="仿宋_gb2312" w:eastAsia="仿宋_gb2312" w:hAnsi="宋体" w:cs="宋体" w:hint="eastAsia"/>
          <w:kern w:val="2"/>
          <w:sz w:val="32"/>
          <w:szCs w:val="32"/>
        </w:rPr>
      </w:pPr>
      <w:r>
        <w:rPr>
          <w:rFonts w:ascii="仿宋_gb2312" w:eastAsia="仿宋_gb2312" w:hAnsi="宋体" w:cs="宋体" w:hint="eastAsia"/>
          <w:kern w:val="2"/>
          <w:sz w:val="32"/>
          <w:szCs w:val="32"/>
        </w:rPr>
        <w:lastRenderedPageBreak/>
        <w:t>中期考核不合格者，</w:t>
      </w:r>
      <w:r>
        <w:rPr>
          <w:rFonts w:ascii="仿宋_gb2312" w:eastAsia="仿宋_gb2312" w:hAnsi="宋体" w:cs="Arial" w:hint="eastAsia"/>
          <w:sz w:val="32"/>
          <w:szCs w:val="32"/>
        </w:rPr>
        <w:t>可在至少3个月后重新申请进行</w:t>
      </w:r>
      <w:r>
        <w:rPr>
          <w:rFonts w:ascii="仿宋_gb2312" w:eastAsia="仿宋_gb2312" w:hAnsi="宋体" w:cs="宋体" w:hint="eastAsia"/>
          <w:kern w:val="2"/>
          <w:sz w:val="32"/>
          <w:szCs w:val="32"/>
        </w:rPr>
        <w:t>中期考核。硕士研究生二次考核仍为不合格的，一般给予退学处理。博士研究生二次考核仍为不合格的，一般给予退学处理；若培养单位认为其符合硕士培养条件，可经本人申请，培养单位和研究生院同意后，分流进入硕士研究生阶段培养。</w:t>
      </w:r>
    </w:p>
    <w:p w:rsidR="007472A4" w:rsidRDefault="007472A4">
      <w:pPr>
        <w:pStyle w:val="a7"/>
        <w:widowControl/>
        <w:spacing w:before="0" w:beforeAutospacing="0" w:after="0" w:afterAutospacing="0" w:line="590" w:lineRule="exact"/>
        <w:ind w:firstLineChars="200" w:firstLine="640"/>
        <w:jc w:val="both"/>
        <w:rPr>
          <w:rFonts w:ascii="黑体" w:eastAsia="黑体" w:hAnsi="黑体" w:cs="宋体" w:hint="eastAsia"/>
          <w:kern w:val="2"/>
          <w:sz w:val="32"/>
          <w:szCs w:val="32"/>
        </w:rPr>
      </w:pPr>
      <w:r>
        <w:rPr>
          <w:rFonts w:ascii="黑体" w:eastAsia="黑体" w:hAnsi="黑体" w:cs="宋体" w:hint="eastAsia"/>
          <w:kern w:val="2"/>
          <w:sz w:val="32"/>
          <w:szCs w:val="32"/>
        </w:rPr>
        <w:t>四、其他</w:t>
      </w:r>
    </w:p>
    <w:p w:rsidR="007472A4" w:rsidRDefault="007472A4">
      <w:pPr>
        <w:pStyle w:val="a7"/>
        <w:widowControl/>
        <w:spacing w:before="0" w:beforeAutospacing="0" w:after="0" w:afterAutospacing="0" w:line="590" w:lineRule="exact"/>
        <w:ind w:firstLineChars="200" w:firstLine="640"/>
        <w:jc w:val="both"/>
        <w:rPr>
          <w:rFonts w:ascii="仿宋_gb2312" w:eastAsia="仿宋_gb2312" w:hAnsi="宋体" w:cs="宋体" w:hint="eastAsia"/>
          <w:kern w:val="2"/>
          <w:sz w:val="32"/>
          <w:szCs w:val="32"/>
        </w:rPr>
      </w:pPr>
      <w:r>
        <w:rPr>
          <w:rFonts w:ascii="仿宋_gb2312" w:eastAsia="仿宋_gb2312" w:hAnsi="宋体" w:cs="宋体" w:hint="eastAsia"/>
          <w:kern w:val="2"/>
          <w:sz w:val="32"/>
          <w:szCs w:val="32"/>
        </w:rPr>
        <w:t>（一）研究生在中期考核合格后的论文工作期间，如因特殊原因无法继续论文工作的，由本人提出申请，经导师、培养单位审查同意后，报研究生院审核批准后进行分流培养或者退学处理。</w:t>
      </w:r>
    </w:p>
    <w:p w:rsidR="007472A4" w:rsidRDefault="007472A4">
      <w:pPr>
        <w:adjustRightInd w:val="0"/>
        <w:snapToGrid w:val="0"/>
        <w:spacing w:line="59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（二）</w:t>
      </w:r>
      <w:r>
        <w:rPr>
          <w:rFonts w:ascii="仿宋_gb2312" w:eastAsia="仿宋_gb2312" w:hAnsi="宋体" w:cs="Arial" w:hint="eastAsia"/>
          <w:kern w:val="0"/>
          <w:sz w:val="32"/>
          <w:szCs w:val="32"/>
        </w:rPr>
        <w:t>研究生、导师及培养单位须按要求在研究生教育综合管理系统中完成中期考核管理流程，研究生院将组织抽查工作。</w:t>
      </w:r>
    </w:p>
    <w:p w:rsidR="007472A4" w:rsidRDefault="007472A4">
      <w:pPr>
        <w:pStyle w:val="a7"/>
        <w:widowControl/>
        <w:spacing w:before="0" w:beforeAutospacing="0" w:after="0" w:afterAutospacing="0" w:line="590" w:lineRule="exact"/>
        <w:ind w:firstLineChars="200" w:firstLine="640"/>
        <w:jc w:val="both"/>
        <w:rPr>
          <w:rFonts w:ascii="仿宋_gb2312" w:eastAsia="仿宋_gb2312" w:hAnsi="宋体" w:cs="宋体" w:hint="eastAsia"/>
          <w:kern w:val="2"/>
          <w:sz w:val="32"/>
          <w:szCs w:val="32"/>
        </w:rPr>
      </w:pPr>
      <w:r>
        <w:rPr>
          <w:rFonts w:ascii="仿宋_gb2312" w:eastAsia="仿宋_gb2312" w:hAnsi="宋体" w:cs="宋体" w:hint="eastAsia"/>
          <w:kern w:val="2"/>
          <w:sz w:val="32"/>
          <w:szCs w:val="32"/>
        </w:rPr>
        <w:t>（三）本办法适用于2019级及以后研究生。</w:t>
      </w:r>
    </w:p>
    <w:p w:rsidR="007472A4" w:rsidRDefault="007472A4">
      <w:pPr>
        <w:pStyle w:val="a7"/>
        <w:widowControl/>
        <w:spacing w:before="0" w:beforeAutospacing="0" w:after="0" w:afterAutospacing="0" w:line="590" w:lineRule="exact"/>
        <w:ind w:firstLineChars="200" w:firstLine="640"/>
        <w:jc w:val="both"/>
        <w:rPr>
          <w:rFonts w:ascii="仿宋_gb2312" w:eastAsia="仿宋_gb2312" w:hAnsi="宋体" w:cs="宋体" w:hint="eastAsia"/>
          <w:kern w:val="2"/>
          <w:sz w:val="32"/>
          <w:szCs w:val="32"/>
        </w:rPr>
      </w:pPr>
      <w:r>
        <w:rPr>
          <w:rFonts w:ascii="仿宋_gb2312" w:eastAsia="仿宋_gb2312" w:hAnsi="宋体" w:cs="宋体" w:hint="eastAsia"/>
          <w:kern w:val="2"/>
          <w:sz w:val="32"/>
          <w:szCs w:val="32"/>
        </w:rPr>
        <w:t>（四）本办法自公布之日起执行，由研究生院负责解释。</w:t>
      </w:r>
    </w:p>
    <w:p w:rsidR="007472A4" w:rsidRDefault="007472A4">
      <w:pPr>
        <w:adjustRightInd w:val="0"/>
        <w:snapToGrid w:val="0"/>
        <w:spacing w:line="590" w:lineRule="exact"/>
        <w:rPr>
          <w:rFonts w:ascii="仿宋_gb2312" w:eastAsia="仿宋_gb2312" w:hint="eastAsia"/>
          <w:b/>
          <w:sz w:val="32"/>
          <w:szCs w:val="32"/>
        </w:rPr>
      </w:pPr>
    </w:p>
    <w:p w:rsidR="007472A4" w:rsidRDefault="007472A4">
      <w:pPr>
        <w:adjustRightInd w:val="0"/>
        <w:snapToGrid w:val="0"/>
        <w:spacing w:line="560" w:lineRule="exact"/>
        <w:rPr>
          <w:rFonts w:ascii="仿宋_gb2312" w:eastAsia="仿宋_gb2312" w:hint="eastAsia"/>
          <w:b/>
          <w:sz w:val="32"/>
          <w:szCs w:val="32"/>
        </w:rPr>
      </w:pPr>
    </w:p>
    <w:p w:rsidR="007472A4" w:rsidRDefault="007472A4">
      <w:pPr>
        <w:adjustRightInd w:val="0"/>
        <w:snapToGrid w:val="0"/>
        <w:spacing w:line="560" w:lineRule="exact"/>
        <w:rPr>
          <w:rFonts w:ascii="黑体" w:eastAsia="黑体" w:hint="eastAsia"/>
          <w:b/>
        </w:rPr>
      </w:pPr>
    </w:p>
    <w:p w:rsidR="007472A4" w:rsidRDefault="007472A4">
      <w:pPr>
        <w:adjustRightInd w:val="0"/>
        <w:snapToGrid w:val="0"/>
        <w:spacing w:line="560" w:lineRule="exact"/>
        <w:rPr>
          <w:rFonts w:ascii="黑体" w:eastAsia="黑体" w:hint="eastAsia"/>
          <w:b/>
        </w:rPr>
      </w:pPr>
    </w:p>
    <w:p w:rsidR="007472A4" w:rsidRDefault="007472A4">
      <w:pPr>
        <w:adjustRightInd w:val="0"/>
        <w:snapToGrid w:val="0"/>
        <w:spacing w:line="560" w:lineRule="exact"/>
        <w:rPr>
          <w:rFonts w:ascii="黑体" w:eastAsia="黑体" w:hint="eastAsia"/>
          <w:b/>
        </w:rPr>
      </w:pPr>
    </w:p>
    <w:p w:rsidR="007472A4" w:rsidRDefault="007472A4">
      <w:pPr>
        <w:adjustRightInd w:val="0"/>
        <w:snapToGrid w:val="0"/>
        <w:spacing w:line="560" w:lineRule="exact"/>
        <w:rPr>
          <w:rFonts w:ascii="黑体" w:eastAsia="黑体" w:hint="eastAsia"/>
          <w:b/>
        </w:rPr>
      </w:pPr>
    </w:p>
    <w:p w:rsidR="007472A4" w:rsidRDefault="007472A4">
      <w:pPr>
        <w:adjustRightInd w:val="0"/>
        <w:snapToGrid w:val="0"/>
        <w:spacing w:line="640" w:lineRule="exact"/>
        <w:rPr>
          <w:rFonts w:ascii="黑体" w:eastAsia="黑体" w:hint="eastAsia"/>
          <w:b/>
        </w:rPr>
      </w:pPr>
    </w:p>
    <w:p w:rsidR="007472A4" w:rsidRDefault="007472A4">
      <w:pPr>
        <w:adjustRightInd w:val="0"/>
        <w:snapToGrid w:val="0"/>
        <w:spacing w:line="640" w:lineRule="exact"/>
        <w:rPr>
          <w:rFonts w:ascii="黑体" w:eastAsia="黑体" w:hint="eastAsia"/>
          <w:b/>
        </w:rPr>
      </w:pPr>
    </w:p>
    <w:p w:rsidR="007472A4" w:rsidRDefault="007472A4">
      <w:pPr>
        <w:adjustRightInd w:val="0"/>
        <w:snapToGrid w:val="0"/>
        <w:spacing w:line="640" w:lineRule="exact"/>
        <w:rPr>
          <w:rFonts w:ascii="黑体" w:eastAsia="黑体" w:hint="eastAsia"/>
          <w:b/>
        </w:rPr>
      </w:pPr>
    </w:p>
    <w:p w:rsidR="007472A4" w:rsidRDefault="007472A4">
      <w:pPr>
        <w:adjustRightInd w:val="0"/>
        <w:snapToGrid w:val="0"/>
        <w:spacing w:line="640" w:lineRule="exact"/>
        <w:rPr>
          <w:rFonts w:ascii="黑体" w:eastAsia="黑体" w:hint="eastAsia"/>
          <w:b/>
        </w:rPr>
      </w:pPr>
    </w:p>
    <w:p w:rsidR="007472A4" w:rsidRDefault="007472A4">
      <w:pPr>
        <w:adjustRightInd w:val="0"/>
        <w:snapToGrid w:val="0"/>
        <w:spacing w:line="640" w:lineRule="exact"/>
        <w:rPr>
          <w:rFonts w:ascii="黑体" w:eastAsia="黑体" w:hint="eastAsia"/>
          <w:b/>
        </w:rPr>
      </w:pPr>
    </w:p>
    <w:p w:rsidR="007472A4" w:rsidRDefault="007472A4">
      <w:pPr>
        <w:adjustRightInd w:val="0"/>
        <w:snapToGrid w:val="0"/>
        <w:spacing w:line="640" w:lineRule="exact"/>
        <w:rPr>
          <w:rFonts w:ascii="黑体" w:eastAsia="黑体" w:hint="eastAsia"/>
          <w:b/>
        </w:rPr>
      </w:pPr>
    </w:p>
    <w:p w:rsidR="007472A4" w:rsidRDefault="007472A4">
      <w:pPr>
        <w:adjustRightInd w:val="0"/>
        <w:snapToGrid w:val="0"/>
        <w:spacing w:line="640" w:lineRule="exact"/>
        <w:rPr>
          <w:rFonts w:ascii="黑体" w:eastAsia="黑体" w:hint="eastAsia"/>
          <w:b/>
        </w:rPr>
      </w:pPr>
    </w:p>
    <w:p w:rsidR="007472A4" w:rsidRDefault="007472A4">
      <w:pPr>
        <w:adjustRightInd w:val="0"/>
        <w:snapToGrid w:val="0"/>
        <w:spacing w:line="640" w:lineRule="exact"/>
        <w:rPr>
          <w:rFonts w:ascii="黑体" w:eastAsia="黑体" w:hint="eastAsia"/>
          <w:b/>
        </w:rPr>
      </w:pPr>
    </w:p>
    <w:p w:rsidR="007472A4" w:rsidRDefault="007472A4">
      <w:pPr>
        <w:adjustRightInd w:val="0"/>
        <w:snapToGrid w:val="0"/>
        <w:spacing w:line="640" w:lineRule="exact"/>
        <w:rPr>
          <w:rFonts w:ascii="黑体" w:eastAsia="黑体" w:hint="eastAsia"/>
          <w:b/>
        </w:rPr>
      </w:pPr>
    </w:p>
    <w:p w:rsidR="007472A4" w:rsidRDefault="007472A4">
      <w:pPr>
        <w:adjustRightInd w:val="0"/>
        <w:snapToGrid w:val="0"/>
        <w:spacing w:line="640" w:lineRule="exact"/>
        <w:rPr>
          <w:rFonts w:ascii="黑体" w:eastAsia="黑体" w:hint="eastAsia"/>
          <w:b/>
        </w:rPr>
      </w:pPr>
    </w:p>
    <w:p w:rsidR="007472A4" w:rsidRDefault="007472A4">
      <w:pPr>
        <w:adjustRightInd w:val="0"/>
        <w:snapToGrid w:val="0"/>
        <w:spacing w:line="640" w:lineRule="exact"/>
        <w:rPr>
          <w:rFonts w:ascii="黑体" w:eastAsia="黑体" w:hint="eastAsia"/>
          <w:b/>
        </w:rPr>
      </w:pPr>
    </w:p>
    <w:p w:rsidR="007472A4" w:rsidRDefault="007472A4">
      <w:pPr>
        <w:adjustRightInd w:val="0"/>
        <w:snapToGrid w:val="0"/>
        <w:spacing w:line="640" w:lineRule="exact"/>
        <w:rPr>
          <w:rFonts w:ascii="黑体" w:eastAsia="黑体" w:hint="eastAsia"/>
          <w:b/>
        </w:rPr>
      </w:pPr>
    </w:p>
    <w:p w:rsidR="007472A4" w:rsidRDefault="007472A4">
      <w:pPr>
        <w:adjustRightInd w:val="0"/>
        <w:snapToGrid w:val="0"/>
        <w:spacing w:line="640" w:lineRule="exact"/>
        <w:rPr>
          <w:rFonts w:ascii="黑体" w:eastAsia="黑体" w:hint="eastAsia"/>
          <w:b/>
        </w:rPr>
      </w:pPr>
    </w:p>
    <w:p w:rsidR="007472A4" w:rsidRDefault="007472A4">
      <w:pPr>
        <w:adjustRightInd w:val="0"/>
        <w:snapToGrid w:val="0"/>
        <w:spacing w:line="640" w:lineRule="exact"/>
        <w:rPr>
          <w:rFonts w:ascii="黑体" w:eastAsia="黑体" w:hint="eastAsia"/>
          <w:b/>
        </w:rPr>
      </w:pPr>
    </w:p>
    <w:p w:rsidR="007472A4" w:rsidRDefault="007472A4">
      <w:pPr>
        <w:adjustRightInd w:val="0"/>
        <w:snapToGrid w:val="0"/>
        <w:spacing w:line="400" w:lineRule="exact"/>
        <w:rPr>
          <w:rFonts w:ascii="黑体" w:eastAsia="黑体" w:hint="eastAsia"/>
          <w:b/>
        </w:rPr>
      </w:pPr>
    </w:p>
    <w:p w:rsidR="007472A4" w:rsidRDefault="007472A4">
      <w:pPr>
        <w:adjustRightInd w:val="0"/>
        <w:snapToGrid w:val="0"/>
        <w:spacing w:line="500" w:lineRule="exact"/>
        <w:rPr>
          <w:rFonts w:ascii="黑体" w:eastAsia="黑体" w:hint="eastAsia"/>
          <w:b/>
        </w:rPr>
      </w:pPr>
    </w:p>
    <w:p w:rsidR="007472A4" w:rsidRDefault="007472A4">
      <w:pPr>
        <w:adjustRightInd w:val="0"/>
        <w:snapToGrid w:val="0"/>
        <w:spacing w:line="500" w:lineRule="exact"/>
        <w:rPr>
          <w:rFonts w:ascii="黑体" w:eastAsia="黑体" w:hint="eastAsia"/>
          <w:b/>
        </w:rPr>
      </w:pPr>
    </w:p>
    <w:p w:rsidR="007472A4" w:rsidRDefault="007472A4">
      <w:pPr>
        <w:adjustRightInd w:val="0"/>
        <w:snapToGrid w:val="0"/>
        <w:spacing w:line="400" w:lineRule="exact"/>
        <w:rPr>
          <w:rFonts w:ascii="黑体" w:eastAsia="黑体" w:hint="eastAsia"/>
          <w:b/>
        </w:rPr>
      </w:pPr>
    </w:p>
    <w:p w:rsidR="007472A4" w:rsidRDefault="007472A4">
      <w:pPr>
        <w:adjustRightInd w:val="0"/>
        <w:snapToGrid w:val="0"/>
        <w:spacing w:line="400" w:lineRule="exact"/>
        <w:rPr>
          <w:rFonts w:ascii="黑体" w:eastAsia="黑体" w:hint="eastAsia"/>
          <w:b/>
        </w:rPr>
      </w:pPr>
    </w:p>
    <w:p w:rsidR="007472A4" w:rsidRDefault="007472A4">
      <w:pPr>
        <w:adjustRightInd w:val="0"/>
        <w:snapToGrid w:val="0"/>
        <w:spacing w:line="400" w:lineRule="exact"/>
        <w:rPr>
          <w:rFonts w:ascii="黑体" w:eastAsia="黑体" w:hint="eastAsia"/>
          <w:b/>
        </w:rPr>
      </w:pPr>
    </w:p>
    <w:p w:rsidR="007472A4" w:rsidRDefault="007472A4">
      <w:pPr>
        <w:adjustRightInd w:val="0"/>
        <w:snapToGrid w:val="0"/>
        <w:spacing w:line="400" w:lineRule="exact"/>
        <w:rPr>
          <w:rFonts w:ascii="黑体" w:eastAsia="黑体" w:hint="eastAsia"/>
          <w:b/>
        </w:rPr>
      </w:pPr>
    </w:p>
    <w:p w:rsidR="007472A4" w:rsidRDefault="007472A4">
      <w:pPr>
        <w:adjustRightInd w:val="0"/>
        <w:snapToGrid w:val="0"/>
        <w:spacing w:line="400" w:lineRule="exact"/>
        <w:rPr>
          <w:rFonts w:ascii="黑体" w:eastAsia="黑体" w:hint="eastAsia"/>
          <w:b/>
        </w:rPr>
      </w:pPr>
    </w:p>
    <w:p w:rsidR="007472A4" w:rsidRDefault="007472A4">
      <w:pPr>
        <w:adjustRightInd w:val="0"/>
        <w:snapToGrid w:val="0"/>
        <w:spacing w:line="500" w:lineRule="exact"/>
        <w:rPr>
          <w:rFonts w:hint="eastAsia"/>
          <w:lang w:val="en-US" w:eastAsia="zh-CN"/>
        </w:rPr>
      </w:pPr>
      <w:r>
        <w:rPr>
          <w:rFonts w:ascii="仿宋_gb2312" w:eastAsia="仿宋_gb2312" w:hint="eastAsia"/>
          <w:sz w:val="28"/>
          <w:szCs w:val="28"/>
          <w:lang w:val="en-US" w:eastAsia="zh-CN"/>
        </w:rPr>
        <w:pict>
          <v:line id="直线 20" o:spid="_x0000_s1029" style="position:absolute;left:0;text-align:left;z-index:251663360" from="-.4pt,3.35pt" to="442.6pt,3.35pt"/>
        </w:pict>
      </w:r>
      <w:r>
        <w:rPr>
          <w:rFonts w:ascii="仿宋_gb2312" w:eastAsia="仿宋_gb2312" w:hint="eastAsia"/>
          <w:sz w:val="28"/>
          <w:szCs w:val="28"/>
        </w:rPr>
        <w:t xml:space="preserve">  </w:t>
      </w:r>
      <w:r>
        <w:rPr>
          <w:rFonts w:ascii="仿宋_gb2312" w:eastAsia="仿宋_gb2312" w:hint="eastAsia"/>
          <w:sz w:val="28"/>
          <w:szCs w:val="28"/>
          <w:lang w:val="en-US" w:eastAsia="zh-CN"/>
        </w:rPr>
        <w:pict>
          <v:line id="直线 22" o:spid="_x0000_s1030" style="position:absolute;left:0;text-align:left;z-index:251664384;mso-position-horizontal-relative:text;mso-position-vertical-relative:text" from="-.4pt,27.2pt" to="442.6pt,27.2pt"/>
        </w:pict>
      </w:r>
      <w:r>
        <w:rPr>
          <w:rFonts w:ascii="仿宋_gb2312" w:eastAsia="仿宋_gb2312" w:hint="eastAsia"/>
          <w:sz w:val="28"/>
          <w:szCs w:val="28"/>
        </w:rPr>
        <w:t xml:space="preserve">暨南大学党政办公室     主动公开         2019年8月28日印发  </w:t>
      </w:r>
    </w:p>
    <w:p w:rsidR="00A67F2B" w:rsidRPr="007472A4" w:rsidRDefault="00A67F2B" w:rsidP="001059A7">
      <w:pPr>
        <w:widowControl/>
        <w:jc w:val="left"/>
        <w:rPr>
          <w:rFonts w:ascii="宋体" w:eastAsia="宋体" w:hAnsi="宋体" w:cs="宋体"/>
          <w:kern w:val="0"/>
          <w:sz w:val="24"/>
          <w:szCs w:val="24"/>
          <w:lang w:val="en-US"/>
        </w:rPr>
      </w:pPr>
    </w:p>
    <w:p w:rsidR="00A67F2B" w:rsidRPr="00A67F2B" w:rsidRDefault="00A67F2B" w:rsidP="001059A7">
      <w:pPr>
        <w:widowControl/>
        <w:jc w:val="left"/>
        <w:rPr>
          <w:rFonts w:ascii="宋体" w:eastAsia="宋体" w:hAnsi="宋体" w:cs="宋体"/>
          <w:kern w:val="0"/>
          <w:sz w:val="24"/>
          <w:szCs w:val="24"/>
        </w:rPr>
      </w:pPr>
    </w:p>
    <w:sectPr w:rsidR="00A67F2B" w:rsidRPr="00A67F2B" w:rsidSect="005A0B0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472A4" w:rsidRDefault="007472A4" w:rsidP="007472A4">
      <w:r>
        <w:separator/>
      </w:r>
    </w:p>
  </w:endnote>
  <w:endnote w:type="continuationSeparator" w:id="1">
    <w:p w:rsidR="007472A4" w:rsidRDefault="007472A4" w:rsidP="007472A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小标宋">
    <w:altName w:val="微软雅黑"/>
    <w:charset w:val="86"/>
    <w:family w:val="script"/>
    <w:pitch w:val="default"/>
    <w:sig w:usb0="00000001" w:usb1="080E0000" w:usb2="00000010" w:usb3="00000000" w:csb0="00040000" w:csb1="00000000"/>
  </w:font>
  <w:font w:name="仿宋_gb2312">
    <w:altName w:val="Arial Unicode MS"/>
    <w:panose1 w:val="00000000000000000000"/>
    <w:charset w:val="86"/>
    <w:family w:val="roman"/>
    <w:notTrueType/>
    <w:pitch w:val="default"/>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472A4" w:rsidRDefault="007472A4" w:rsidP="007472A4">
      <w:r>
        <w:separator/>
      </w:r>
    </w:p>
  </w:footnote>
  <w:footnote w:type="continuationSeparator" w:id="1">
    <w:p w:rsidR="007472A4" w:rsidRDefault="007472A4" w:rsidP="007472A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DC628D"/>
    <w:multiLevelType w:val="singleLevel"/>
    <w:tmpl w:val="0CDC628D"/>
    <w:lvl w:ilvl="0">
      <w:start w:val="3"/>
      <w:numFmt w:val="chineseCounting"/>
      <w:suff w:val="nothing"/>
      <w:lvlText w:val="（%1）"/>
      <w:lvlJc w:val="left"/>
      <w:pPr>
        <w:ind w:left="0" w:firstLine="0"/>
      </w:pPr>
    </w:lvl>
  </w:abstractNum>
  <w:num w:numId="1">
    <w:abstractNumId w:val="0"/>
    <w:lvlOverride w:ilvl="0">
      <w:startOverride w:val="3"/>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25E72"/>
    <w:rsid w:val="00001C35"/>
    <w:rsid w:val="0002174A"/>
    <w:rsid w:val="001059A7"/>
    <w:rsid w:val="00111AD3"/>
    <w:rsid w:val="00256CA0"/>
    <w:rsid w:val="00292BAD"/>
    <w:rsid w:val="002C22E7"/>
    <w:rsid w:val="00385F8F"/>
    <w:rsid w:val="003B54FF"/>
    <w:rsid w:val="003F5948"/>
    <w:rsid w:val="00445B28"/>
    <w:rsid w:val="00475BFD"/>
    <w:rsid w:val="0053348C"/>
    <w:rsid w:val="005A0B00"/>
    <w:rsid w:val="006B2256"/>
    <w:rsid w:val="007472A4"/>
    <w:rsid w:val="00923BCC"/>
    <w:rsid w:val="00977617"/>
    <w:rsid w:val="00A67F2B"/>
    <w:rsid w:val="00B527E3"/>
    <w:rsid w:val="00B63A06"/>
    <w:rsid w:val="00C83E34"/>
    <w:rsid w:val="00C876EF"/>
    <w:rsid w:val="00CD3FE1"/>
    <w:rsid w:val="00E15B9E"/>
    <w:rsid w:val="00E25E72"/>
    <w:rsid w:val="00ED0B79"/>
    <w:rsid w:val="00F76D8D"/>
    <w:rsid w:val="00F84222"/>
    <w:rsid w:val="00FD37C0"/>
    <w:rsid w:val="00FD465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0B0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E25E72"/>
    <w:rPr>
      <w:sz w:val="18"/>
      <w:szCs w:val="18"/>
    </w:rPr>
  </w:style>
  <w:style w:type="character" w:customStyle="1" w:styleId="Char">
    <w:name w:val="批注框文本 Char"/>
    <w:basedOn w:val="a0"/>
    <w:link w:val="a3"/>
    <w:uiPriority w:val="99"/>
    <w:semiHidden/>
    <w:rsid w:val="00E25E72"/>
    <w:rPr>
      <w:sz w:val="18"/>
      <w:szCs w:val="18"/>
    </w:rPr>
  </w:style>
  <w:style w:type="character" w:styleId="a4">
    <w:name w:val="Strong"/>
    <w:basedOn w:val="a0"/>
    <w:uiPriority w:val="22"/>
    <w:qFormat/>
    <w:rsid w:val="001059A7"/>
    <w:rPr>
      <w:b/>
      <w:bCs/>
    </w:rPr>
  </w:style>
  <w:style w:type="paragraph" w:styleId="a5">
    <w:name w:val="header"/>
    <w:basedOn w:val="a"/>
    <w:link w:val="Char0"/>
    <w:uiPriority w:val="99"/>
    <w:semiHidden/>
    <w:unhideWhenUsed/>
    <w:rsid w:val="007472A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7472A4"/>
    <w:rPr>
      <w:sz w:val="18"/>
      <w:szCs w:val="18"/>
    </w:rPr>
  </w:style>
  <w:style w:type="paragraph" w:styleId="a6">
    <w:name w:val="footer"/>
    <w:basedOn w:val="a"/>
    <w:link w:val="Char1"/>
    <w:uiPriority w:val="99"/>
    <w:semiHidden/>
    <w:unhideWhenUsed/>
    <w:rsid w:val="007472A4"/>
    <w:pPr>
      <w:tabs>
        <w:tab w:val="center" w:pos="4153"/>
        <w:tab w:val="right" w:pos="8306"/>
      </w:tabs>
      <w:snapToGrid w:val="0"/>
      <w:jc w:val="left"/>
    </w:pPr>
    <w:rPr>
      <w:sz w:val="18"/>
      <w:szCs w:val="18"/>
    </w:rPr>
  </w:style>
  <w:style w:type="character" w:customStyle="1" w:styleId="Char1">
    <w:name w:val="页脚 Char"/>
    <w:basedOn w:val="a0"/>
    <w:link w:val="a6"/>
    <w:uiPriority w:val="99"/>
    <w:semiHidden/>
    <w:rsid w:val="007472A4"/>
    <w:rPr>
      <w:sz w:val="18"/>
      <w:szCs w:val="18"/>
    </w:rPr>
  </w:style>
  <w:style w:type="paragraph" w:styleId="a7">
    <w:name w:val="Normal (Web)"/>
    <w:basedOn w:val="a"/>
    <w:rsid w:val="007472A4"/>
    <w:pPr>
      <w:spacing w:before="100" w:beforeAutospacing="1" w:after="100" w:afterAutospacing="1"/>
      <w:jc w:val="left"/>
    </w:pPr>
    <w:rPr>
      <w:rFonts w:ascii="Calibri" w:eastAsia="宋体" w:hAnsi="Calibri" w:cs="Times New Roman"/>
      <w:kern w:val="0"/>
      <w:sz w:val="24"/>
      <w:szCs w:val="24"/>
    </w:rPr>
  </w:style>
</w:styles>
</file>

<file path=word/webSettings.xml><?xml version="1.0" encoding="utf-8"?>
<w:webSettings xmlns:r="http://schemas.openxmlformats.org/officeDocument/2006/relationships" xmlns:w="http://schemas.openxmlformats.org/wordprocessingml/2006/main">
  <w:divs>
    <w:div w:id="186481632">
      <w:bodyDiv w:val="1"/>
      <w:marLeft w:val="0"/>
      <w:marRight w:val="0"/>
      <w:marTop w:val="0"/>
      <w:marBottom w:val="0"/>
      <w:divBdr>
        <w:top w:val="none" w:sz="0" w:space="0" w:color="auto"/>
        <w:left w:val="none" w:sz="0" w:space="0" w:color="auto"/>
        <w:bottom w:val="none" w:sz="0" w:space="0" w:color="auto"/>
        <w:right w:val="none" w:sz="0" w:space="0" w:color="auto"/>
      </w:divBdr>
      <w:divsChild>
        <w:div w:id="57365693">
          <w:marLeft w:val="0"/>
          <w:marRight w:val="0"/>
          <w:marTop w:val="0"/>
          <w:marBottom w:val="0"/>
          <w:divBdr>
            <w:top w:val="none" w:sz="0" w:space="0" w:color="auto"/>
            <w:left w:val="none" w:sz="0" w:space="0" w:color="auto"/>
            <w:bottom w:val="none" w:sz="0" w:space="0" w:color="auto"/>
            <w:right w:val="none" w:sz="0" w:space="0" w:color="auto"/>
          </w:divBdr>
          <w:divsChild>
            <w:div w:id="1329019504">
              <w:marLeft w:val="0"/>
              <w:marRight w:val="0"/>
              <w:marTop w:val="0"/>
              <w:marBottom w:val="0"/>
              <w:divBdr>
                <w:top w:val="none" w:sz="0" w:space="0" w:color="auto"/>
                <w:left w:val="none" w:sz="0" w:space="0" w:color="auto"/>
                <w:bottom w:val="none" w:sz="0" w:space="0" w:color="auto"/>
                <w:right w:val="none" w:sz="0" w:space="0" w:color="auto"/>
              </w:divBdr>
            </w:div>
          </w:divsChild>
        </w:div>
        <w:div w:id="1143157739">
          <w:marLeft w:val="0"/>
          <w:marRight w:val="0"/>
          <w:marTop w:val="0"/>
          <w:marBottom w:val="0"/>
          <w:divBdr>
            <w:top w:val="none" w:sz="0" w:space="0" w:color="auto"/>
            <w:left w:val="none" w:sz="0" w:space="0" w:color="auto"/>
            <w:bottom w:val="none" w:sz="0" w:space="0" w:color="auto"/>
            <w:right w:val="none" w:sz="0" w:space="0" w:color="auto"/>
          </w:divBdr>
          <w:divsChild>
            <w:div w:id="1998265358">
              <w:marLeft w:val="0"/>
              <w:marRight w:val="0"/>
              <w:marTop w:val="0"/>
              <w:marBottom w:val="0"/>
              <w:divBdr>
                <w:top w:val="none" w:sz="0" w:space="0" w:color="auto"/>
                <w:left w:val="none" w:sz="0" w:space="0" w:color="auto"/>
                <w:bottom w:val="none" w:sz="0" w:space="0" w:color="auto"/>
                <w:right w:val="none" w:sz="0" w:space="0" w:color="auto"/>
              </w:divBdr>
            </w:div>
          </w:divsChild>
        </w:div>
        <w:div w:id="1556232353">
          <w:marLeft w:val="0"/>
          <w:marRight w:val="0"/>
          <w:marTop w:val="0"/>
          <w:marBottom w:val="0"/>
          <w:divBdr>
            <w:top w:val="none" w:sz="0" w:space="0" w:color="auto"/>
            <w:left w:val="none" w:sz="0" w:space="0" w:color="auto"/>
            <w:bottom w:val="none" w:sz="0" w:space="0" w:color="auto"/>
            <w:right w:val="none" w:sz="0" w:space="0" w:color="auto"/>
          </w:divBdr>
          <w:divsChild>
            <w:div w:id="171307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2510144">
      <w:bodyDiv w:val="1"/>
      <w:marLeft w:val="0"/>
      <w:marRight w:val="0"/>
      <w:marTop w:val="0"/>
      <w:marBottom w:val="0"/>
      <w:divBdr>
        <w:top w:val="none" w:sz="0" w:space="0" w:color="auto"/>
        <w:left w:val="none" w:sz="0" w:space="0" w:color="auto"/>
        <w:bottom w:val="none" w:sz="0" w:space="0" w:color="auto"/>
        <w:right w:val="none" w:sz="0" w:space="0" w:color="auto"/>
      </w:divBdr>
    </w:div>
    <w:div w:id="847909968">
      <w:bodyDiv w:val="1"/>
      <w:marLeft w:val="0"/>
      <w:marRight w:val="0"/>
      <w:marTop w:val="0"/>
      <w:marBottom w:val="0"/>
      <w:divBdr>
        <w:top w:val="none" w:sz="0" w:space="0" w:color="auto"/>
        <w:left w:val="none" w:sz="0" w:space="0" w:color="auto"/>
        <w:bottom w:val="none" w:sz="0" w:space="0" w:color="auto"/>
        <w:right w:val="none" w:sz="0" w:space="0" w:color="auto"/>
      </w:divBdr>
      <w:divsChild>
        <w:div w:id="1752697968">
          <w:marLeft w:val="0"/>
          <w:marRight w:val="0"/>
          <w:marTop w:val="0"/>
          <w:marBottom w:val="0"/>
          <w:divBdr>
            <w:top w:val="none" w:sz="0" w:space="0" w:color="auto"/>
            <w:left w:val="none" w:sz="0" w:space="0" w:color="auto"/>
            <w:bottom w:val="none" w:sz="0" w:space="0" w:color="auto"/>
            <w:right w:val="none" w:sz="0" w:space="0" w:color="auto"/>
          </w:divBdr>
          <w:divsChild>
            <w:div w:id="571309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193597">
      <w:bodyDiv w:val="1"/>
      <w:marLeft w:val="0"/>
      <w:marRight w:val="0"/>
      <w:marTop w:val="0"/>
      <w:marBottom w:val="0"/>
      <w:divBdr>
        <w:top w:val="none" w:sz="0" w:space="0" w:color="auto"/>
        <w:left w:val="none" w:sz="0" w:space="0" w:color="auto"/>
        <w:bottom w:val="none" w:sz="0" w:space="0" w:color="auto"/>
        <w:right w:val="none" w:sz="0" w:space="0" w:color="auto"/>
      </w:divBdr>
      <w:divsChild>
        <w:div w:id="1343822514">
          <w:marLeft w:val="0"/>
          <w:marRight w:val="0"/>
          <w:marTop w:val="0"/>
          <w:marBottom w:val="0"/>
          <w:divBdr>
            <w:top w:val="none" w:sz="0" w:space="0" w:color="auto"/>
            <w:left w:val="none" w:sz="0" w:space="0" w:color="auto"/>
            <w:bottom w:val="none" w:sz="0" w:space="0" w:color="auto"/>
            <w:right w:val="none" w:sz="0" w:space="0" w:color="auto"/>
          </w:divBdr>
          <w:divsChild>
            <w:div w:id="1279294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610661">
      <w:bodyDiv w:val="1"/>
      <w:marLeft w:val="0"/>
      <w:marRight w:val="0"/>
      <w:marTop w:val="0"/>
      <w:marBottom w:val="0"/>
      <w:divBdr>
        <w:top w:val="none" w:sz="0" w:space="0" w:color="auto"/>
        <w:left w:val="none" w:sz="0" w:space="0" w:color="auto"/>
        <w:bottom w:val="none" w:sz="0" w:space="0" w:color="auto"/>
        <w:right w:val="none" w:sz="0" w:space="0" w:color="auto"/>
      </w:divBdr>
      <w:divsChild>
        <w:div w:id="104925760">
          <w:marLeft w:val="0"/>
          <w:marRight w:val="0"/>
          <w:marTop w:val="0"/>
          <w:marBottom w:val="0"/>
          <w:divBdr>
            <w:top w:val="none" w:sz="0" w:space="0" w:color="auto"/>
            <w:left w:val="none" w:sz="0" w:space="0" w:color="auto"/>
            <w:bottom w:val="none" w:sz="0" w:space="0" w:color="auto"/>
            <w:right w:val="none" w:sz="0" w:space="0" w:color="auto"/>
          </w:divBdr>
          <w:divsChild>
            <w:div w:id="1934702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078029">
      <w:bodyDiv w:val="1"/>
      <w:marLeft w:val="0"/>
      <w:marRight w:val="0"/>
      <w:marTop w:val="0"/>
      <w:marBottom w:val="0"/>
      <w:divBdr>
        <w:top w:val="none" w:sz="0" w:space="0" w:color="auto"/>
        <w:left w:val="none" w:sz="0" w:space="0" w:color="auto"/>
        <w:bottom w:val="none" w:sz="0" w:space="0" w:color="auto"/>
        <w:right w:val="none" w:sz="0" w:space="0" w:color="auto"/>
      </w:divBdr>
      <w:divsChild>
        <w:div w:id="1102647903">
          <w:marLeft w:val="0"/>
          <w:marRight w:val="0"/>
          <w:marTop w:val="0"/>
          <w:marBottom w:val="0"/>
          <w:divBdr>
            <w:top w:val="none" w:sz="0" w:space="0" w:color="auto"/>
            <w:left w:val="none" w:sz="0" w:space="0" w:color="auto"/>
            <w:bottom w:val="none" w:sz="0" w:space="0" w:color="auto"/>
            <w:right w:val="none" w:sz="0" w:space="0" w:color="auto"/>
          </w:divBdr>
          <w:divsChild>
            <w:div w:id="1330326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966020">
      <w:bodyDiv w:val="1"/>
      <w:marLeft w:val="0"/>
      <w:marRight w:val="0"/>
      <w:marTop w:val="0"/>
      <w:marBottom w:val="0"/>
      <w:divBdr>
        <w:top w:val="none" w:sz="0" w:space="0" w:color="auto"/>
        <w:left w:val="none" w:sz="0" w:space="0" w:color="auto"/>
        <w:bottom w:val="none" w:sz="0" w:space="0" w:color="auto"/>
        <w:right w:val="none" w:sz="0" w:space="0" w:color="auto"/>
      </w:divBdr>
      <w:divsChild>
        <w:div w:id="1423185660">
          <w:marLeft w:val="0"/>
          <w:marRight w:val="0"/>
          <w:marTop w:val="0"/>
          <w:marBottom w:val="0"/>
          <w:divBdr>
            <w:top w:val="none" w:sz="0" w:space="0" w:color="auto"/>
            <w:left w:val="none" w:sz="0" w:space="0" w:color="auto"/>
            <w:bottom w:val="none" w:sz="0" w:space="0" w:color="auto"/>
            <w:right w:val="none" w:sz="0" w:space="0" w:color="auto"/>
          </w:divBdr>
        </w:div>
      </w:divsChild>
    </w:div>
    <w:div w:id="2042510708">
      <w:bodyDiv w:val="1"/>
      <w:marLeft w:val="0"/>
      <w:marRight w:val="0"/>
      <w:marTop w:val="0"/>
      <w:marBottom w:val="0"/>
      <w:divBdr>
        <w:top w:val="none" w:sz="0" w:space="0" w:color="auto"/>
        <w:left w:val="none" w:sz="0" w:space="0" w:color="auto"/>
        <w:bottom w:val="none" w:sz="0" w:space="0" w:color="auto"/>
        <w:right w:val="none" w:sz="0" w:space="0" w:color="auto"/>
      </w:divBdr>
      <w:divsChild>
        <w:div w:id="649754832">
          <w:marLeft w:val="0"/>
          <w:marRight w:val="0"/>
          <w:marTop w:val="0"/>
          <w:marBottom w:val="0"/>
          <w:divBdr>
            <w:top w:val="none" w:sz="0" w:space="0" w:color="auto"/>
            <w:left w:val="none" w:sz="0" w:space="0" w:color="auto"/>
            <w:bottom w:val="none" w:sz="0" w:space="0" w:color="auto"/>
            <w:right w:val="none" w:sz="0" w:space="0" w:color="auto"/>
          </w:divBdr>
          <w:divsChild>
            <w:div w:id="393745033">
              <w:marLeft w:val="0"/>
              <w:marRight w:val="0"/>
              <w:marTop w:val="0"/>
              <w:marBottom w:val="0"/>
              <w:divBdr>
                <w:top w:val="none" w:sz="0" w:space="0" w:color="auto"/>
                <w:left w:val="none" w:sz="0" w:space="0" w:color="auto"/>
                <w:bottom w:val="none" w:sz="0" w:space="0" w:color="auto"/>
                <w:right w:val="none" w:sz="0" w:space="0" w:color="auto"/>
              </w:divBdr>
            </w:div>
          </w:divsChild>
        </w:div>
        <w:div w:id="1990086990">
          <w:marLeft w:val="0"/>
          <w:marRight w:val="0"/>
          <w:marTop w:val="0"/>
          <w:marBottom w:val="0"/>
          <w:divBdr>
            <w:top w:val="none" w:sz="0" w:space="0" w:color="auto"/>
            <w:left w:val="none" w:sz="0" w:space="0" w:color="auto"/>
            <w:bottom w:val="none" w:sz="0" w:space="0" w:color="auto"/>
            <w:right w:val="none" w:sz="0" w:space="0" w:color="auto"/>
          </w:divBdr>
          <w:divsChild>
            <w:div w:id="1247042">
              <w:marLeft w:val="0"/>
              <w:marRight w:val="0"/>
              <w:marTop w:val="0"/>
              <w:marBottom w:val="0"/>
              <w:divBdr>
                <w:top w:val="none" w:sz="0" w:space="0" w:color="auto"/>
                <w:left w:val="none" w:sz="0" w:space="0" w:color="auto"/>
                <w:bottom w:val="none" w:sz="0" w:space="0" w:color="auto"/>
                <w:right w:val="none" w:sz="0" w:space="0" w:color="auto"/>
              </w:divBdr>
            </w:div>
          </w:divsChild>
        </w:div>
        <w:div w:id="994845298">
          <w:marLeft w:val="0"/>
          <w:marRight w:val="0"/>
          <w:marTop w:val="0"/>
          <w:marBottom w:val="0"/>
          <w:divBdr>
            <w:top w:val="none" w:sz="0" w:space="0" w:color="auto"/>
            <w:left w:val="none" w:sz="0" w:space="0" w:color="auto"/>
            <w:bottom w:val="none" w:sz="0" w:space="0" w:color="auto"/>
            <w:right w:val="none" w:sz="0" w:space="0" w:color="auto"/>
          </w:divBdr>
          <w:divsChild>
            <w:div w:id="1160778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5</Pages>
  <Words>270</Words>
  <Characters>1541</Characters>
  <Application>Microsoft Office Word</Application>
  <DocSecurity>0</DocSecurity>
  <Lines>12</Lines>
  <Paragraphs>3</Paragraphs>
  <ScaleCrop>false</ScaleCrop>
  <Company/>
  <LinksUpToDate>false</LinksUpToDate>
  <CharactersWithSpaces>1808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王文</dc:creator>
  <cp:lastModifiedBy>王文</cp:lastModifiedBy>
  <cp:revision>3</cp:revision>
  <dcterms:created xsi:type="dcterms:W3CDTF">2021-03-04T15:42:00Z</dcterms:created>
  <dcterms:modified xsi:type="dcterms:W3CDTF">2021-03-04T15:43:00Z</dcterms:modified>
</cp:coreProperties>
</file>